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ECF0F1"/>
          <w:left w:val="single" w:sz="4" w:space="0" w:color="ECF0F1"/>
          <w:bottom w:val="single" w:sz="4" w:space="0" w:color="ECF0F1"/>
          <w:right w:val="single" w:sz="4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771"/>
        <w:gridCol w:w="807"/>
        <w:gridCol w:w="3408"/>
        <w:gridCol w:w="560"/>
        <w:gridCol w:w="1418"/>
        <w:gridCol w:w="1418"/>
        <w:gridCol w:w="6103"/>
        <w:gridCol w:w="516"/>
      </w:tblGrid>
      <w:tr w:rsidR="00660AEE" w:rsidRPr="00660AEE" w:rsidTr="00660AEE"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t>制度面向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t>辦理項目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t>辦理項目細項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t>辦理內容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t>辦理</w:t>
            </w: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br/>
              <w:t>現況</w:t>
            </w: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br/>
              <w:t>編號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t>完成(是/否)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t>符合進度(是/否)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t>辦理現況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18"/>
                <w:szCs w:val="18"/>
              </w:rPr>
              <w:t>審查意見</w:t>
            </w:r>
          </w:p>
        </w:tc>
      </w:tr>
      <w:tr w:rsidR="00660AEE" w:rsidRPr="00660AEE" w:rsidTr="00660AEE"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2.技術面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2.5資通安全防護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2.5.1防毒軟體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A、B、C、D級機關：初次受核定或等級變更後之一年內，完成各項資通安全防護措施之啟用，並持續使用及適時進行軟、硬體之必要更新或升級。</w:t>
            </w:r>
          </w:p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pict>
                <v:rect id="_x0000_i1025" style="width:0;height:0" o:hralign="center" o:hrstd="t" o:hr="t" fillcolor="#a0a0a0" stroked="f"/>
              </w:pict>
            </w:r>
          </w:p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E級機關：無。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T18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 xml:space="preserve">      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55.7pt;height:18.15pt" o:ole="">
                  <v:imagedata r:id="rId4" o:title=""/>
                </v:shape>
                <w:control r:id="rId5" w:name="DefaultOcxName" w:shapeid="_x0000_i1119"/>
              </w:objec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 xml:space="preserve">      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120" type="#_x0000_t75" style="width:55.7pt;height:18.15pt" o:ole="">
                  <v:imagedata r:id="rId6" o:title=""/>
                </v:shape>
                <w:control r:id="rId7" w:name="DefaultOcxName1" w:shapeid="_x0000_i1120"/>
              </w:objec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121" type="#_x0000_t75" style="width:20.05pt;height:19.4pt" o:ole="">
                  <v:imagedata r:id="rId8" o:title=""/>
                </v:shape>
                <w:control r:id="rId9" w:name="DefaultOcxName2" w:shapeid="_x0000_i1121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已完成：本機關已完成防毒軟體之建置，將持續使用及適時進行軟、硬體之必要更新或升級。</w: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91" type="#_x0000_t75" style="width:20.05pt;height:19.4pt" o:ole="">
                  <v:imagedata r:id="rId10" o:title=""/>
                </v:shape>
                <w:control r:id="rId11" w:name="DefaultOcxName3" w:shapeid="_x0000_i1091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未完成：尚未完成防毒軟體之建置，原因為 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90" type="#_x0000_t75" style="width:1in;height:18.15pt" o:ole="">
                  <v:imagedata r:id="rId12" o:title=""/>
                </v:shape>
                <w:control r:id="rId13" w:name="DefaultOcxName4" w:shapeid="_x0000_i1090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  <w:t>補充說明(選填)：</w: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89" type="#_x0000_t75" style="width:159.65pt;height:78.9pt" o:ole="">
                  <v:imagedata r:id="rId14" o:title=""/>
                </v:shape>
                <w:control r:id="rId15" w:name="DefaultOcxName5" w:shapeid="_x0000_i1089"/>
              </w:objec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</w:p>
        </w:tc>
      </w:tr>
      <w:tr w:rsidR="00660AEE" w:rsidRPr="00660AEE" w:rsidTr="00660AEE"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2.技術面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2.5資通安全防護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2.5.2網路防火牆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A、B、C、D級機關：初次受核定或等級變更後之一年內，完成各項資通安全防護措施之啟用，並持續使用及適時進行軟、硬體之必要更新或升級。</w:t>
            </w:r>
          </w:p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pict>
                <v:rect id="_x0000_i1026" style="width:0;height:0" o:hralign="center" o:hrstd="t" o:hr="t" fillcolor="#a0a0a0" stroked="f"/>
              </w:pict>
            </w:r>
          </w:p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E級機關：無。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T19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 xml:space="preserve">      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123" type="#_x0000_t75" style="width:55.7pt;height:18.15pt" o:ole="">
                  <v:imagedata r:id="rId4" o:title=""/>
                </v:shape>
                <w:control r:id="rId16" w:name="DefaultOcxName6" w:shapeid="_x0000_i1123"/>
              </w:objec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 xml:space="preserve">      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125" type="#_x0000_t75" style="width:55.7pt;height:18.15pt" o:ole="">
                  <v:imagedata r:id="rId4" o:title=""/>
                </v:shape>
                <w:control r:id="rId17" w:name="DefaultOcxName7" w:shapeid="_x0000_i1125"/>
              </w:objec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122" type="#_x0000_t75" style="width:20.05pt;height:19.4pt" o:ole="">
                  <v:imagedata r:id="rId8" o:title=""/>
                </v:shape>
                <w:control r:id="rId18" w:name="DefaultOcxName8" w:shapeid="_x0000_i1122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已完成：本機關已完成網路防火牆之建置，將持續使用及適時進行軟、硬體之必要更新或升級。</w: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85" type="#_x0000_t75" style="width:20.05pt;height:19.4pt" o:ole="">
                  <v:imagedata r:id="rId10" o:title=""/>
                </v:shape>
                <w:control r:id="rId19" w:name="DefaultOcxName9" w:shapeid="_x0000_i1085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未完成：尚未完成網路防火牆之建置，原因為 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84" type="#_x0000_t75" style="width:1in;height:18.15pt" o:ole="">
                  <v:imagedata r:id="rId12" o:title=""/>
                </v:shape>
                <w:control r:id="rId20" w:name="DefaultOcxName10" w:shapeid="_x0000_i1084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  <w:t>補充說明(選填)：</w: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lastRenderedPageBreak/>
              <w:object w:dxaOrig="225" w:dyaOrig="225">
                <v:shape id="_x0000_i1083" type="#_x0000_t75" style="width:159.65pt;height:78.9pt" o:ole="">
                  <v:imagedata r:id="rId14" o:title=""/>
                </v:shape>
                <w:control r:id="rId21" w:name="DefaultOcxName11" w:shapeid="_x0000_i1083"/>
              </w:objec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</w:p>
        </w:tc>
      </w:tr>
      <w:tr w:rsidR="00660AEE" w:rsidRPr="00660AEE" w:rsidTr="00660AEE"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ECF0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lastRenderedPageBreak/>
              <w:t>3.認知與訓練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ECF0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3.1資通安全教育訓練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ECF0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3.1.3一般使用者及主管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ECF0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(A、B、C、D、E、公務、特定非公務皆同)</w: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  <w:t>每人每年接受三小時以上之資通安全通識教育訓練。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ECF0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T26</w: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ECF0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 xml:space="preserve">      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126" type="#_x0000_t75" style="width:55.7pt;height:18.15pt" o:ole="">
                  <v:imagedata r:id="rId4" o:title=""/>
                </v:shape>
                <w:control r:id="rId22" w:name="DefaultOcxName12" w:shapeid="_x0000_i1126"/>
              </w:objec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ECF0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 xml:space="preserve">      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127" type="#_x0000_t75" style="width:55.7pt;height:18.15pt" o:ole="">
                  <v:imagedata r:id="rId6" o:title=""/>
                </v:shape>
                <w:control r:id="rId23" w:name="DefaultOcxName13" w:shapeid="_x0000_i1127"/>
              </w:object>
            </w:r>
          </w:p>
        </w:tc>
        <w:tc>
          <w:tcPr>
            <w:tcW w:w="0" w:type="auto"/>
            <w:tcBorders>
              <w:top w:val="single" w:sz="4" w:space="0" w:color="ECF0F1"/>
              <w:left w:val="single" w:sz="4" w:space="0" w:color="ECF0F1"/>
              <w:bottom w:val="single" w:sz="4" w:space="0" w:color="ECF0F1"/>
              <w:right w:val="single" w:sz="4" w:space="0" w:color="ECF0F1"/>
            </w:tcBorders>
            <w:shd w:val="clear" w:color="auto" w:fill="ECF0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AEE" w:rsidRPr="00660AEE" w:rsidRDefault="00660AEE" w:rsidP="00660AEE">
            <w:pPr>
              <w:widowControl/>
              <w:wordWrap w:val="0"/>
              <w:spacing w:before="250" w:after="250"/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</w:pP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128" type="#_x0000_t75" style="width:20.05pt;height:19.4pt" o:ole="">
                  <v:imagedata r:id="rId8" o:title=""/>
                </v:shape>
                <w:control r:id="rId24" w:name="DefaultOcxName14" w:shapeid="_x0000_i1128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已完成：本機關一般使用者及主管均已符合規定。</w: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79" type="#_x0000_t75" style="width:20.05pt;height:19.4pt" o:ole="">
                  <v:imagedata r:id="rId10" o:title=""/>
                </v:shape>
                <w:control r:id="rId25" w:name="DefaultOcxName15" w:shapeid="_x0000_i1079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未完成：本機關一般使用者及主管共 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78" type="#_x0000_t75" style="width:1in;height:18.15pt" o:ole="">
                  <v:imagedata r:id="rId12" o:title=""/>
                </v:shape>
                <w:control r:id="rId26" w:name="DefaultOcxName16" w:shapeid="_x0000_i1078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人，其中 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77" type="#_x0000_t75" style="width:1in;height:18.15pt" o:ole="">
                  <v:imagedata r:id="rId12" o:title=""/>
                </v:shape>
                <w:control r:id="rId27" w:name="DefaultOcxName17" w:shapeid="_x0000_i1077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人已符合規定， 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76" type="#_x0000_t75" style="width:1in;height:18.15pt" o:ole="">
                  <v:imagedata r:id="rId12" o:title=""/>
                </v:shape>
                <w:control r:id="rId28" w:name="DefaultOcxName18" w:shapeid="_x0000_i1076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人未符規定。</w: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  <w:t>改善措施：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75" type="#_x0000_t75" style="width:1in;height:18.15pt" o:ole="">
                  <v:imagedata r:id="rId12" o:title=""/>
                </v:shape>
                <w:control r:id="rId29" w:name="DefaultOcxName19" w:shapeid="_x0000_i1075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t>，原因為： </w:t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74" type="#_x0000_t75" style="width:192.2pt;height:18.15pt" o:ole="">
                  <v:imagedata r:id="rId30" o:title=""/>
                </v:shape>
                <w:control r:id="rId31" w:name="DefaultOcxName20" w:shapeid="_x0000_i1074"/>
              </w:objec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  <w:t>補充說明(選填)：</w:t>
            </w:r>
            <w:r w:rsidRPr="00660AEE">
              <w:rPr>
                <w:rFonts w:ascii="微軟正黑體" w:eastAsia="微軟正黑體" w:hAnsi="微軟正黑體" w:cs="新細明體" w:hint="eastAsia"/>
                <w:color w:val="2C3E50"/>
                <w:kern w:val="0"/>
                <w:sz w:val="18"/>
                <w:szCs w:val="18"/>
              </w:rPr>
              <w:br/>
            </w:r>
            <w:r w:rsidRPr="00660AEE">
              <w:rPr>
                <w:rFonts w:ascii="微軟正黑體" w:eastAsia="微軟正黑體" w:hAnsi="微軟正黑體" w:cs="新細明體"/>
                <w:color w:val="2C3E50"/>
                <w:kern w:val="0"/>
                <w:sz w:val="18"/>
                <w:szCs w:val="18"/>
              </w:rPr>
              <w:object w:dxaOrig="225" w:dyaOrig="225">
                <v:shape id="_x0000_i1073" type="#_x0000_t75" style="width:159.65pt;height:78.9pt" o:ole="">
                  <v:imagedata r:id="rId14" o:title=""/>
                </v:shape>
                <w:control r:id="rId32" w:name="DefaultOcxName21" w:shapeid="_x0000_i1073"/>
              </w:object>
            </w:r>
          </w:p>
        </w:tc>
        <w:tc>
          <w:tcPr>
            <w:tcW w:w="0" w:type="auto"/>
            <w:shd w:val="clear" w:color="auto" w:fill="ECF0F1"/>
            <w:vAlign w:val="center"/>
            <w:hideMark/>
          </w:tcPr>
          <w:p w:rsidR="00660AEE" w:rsidRPr="00660AEE" w:rsidRDefault="00660AEE" w:rsidP="00660AE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F5B8C" w:rsidRDefault="007F5B8C"/>
    <w:sectPr w:rsidR="007F5B8C" w:rsidSect="00660A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CB6"/>
    <w:rsid w:val="00660AEE"/>
    <w:rsid w:val="007F5B8C"/>
    <w:rsid w:val="00B7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image" Target="media/image4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2022-03-15T07:14:00Z</dcterms:created>
  <dcterms:modified xsi:type="dcterms:W3CDTF">2022-03-15T07:32:00Z</dcterms:modified>
</cp:coreProperties>
</file>